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18" w:rsidRPr="00D70917" w:rsidRDefault="00756718" w:rsidP="00756718">
      <w:pPr>
        <w:pStyle w:val="a3"/>
        <w:ind w:firstLine="284"/>
        <w:rPr>
          <w:bCs/>
          <w:sz w:val="22"/>
          <w:szCs w:val="22"/>
        </w:rPr>
      </w:pPr>
      <w:r w:rsidRPr="00D70917">
        <w:rPr>
          <w:bCs/>
          <w:sz w:val="22"/>
          <w:szCs w:val="22"/>
        </w:rPr>
        <w:t>ПЕРЕЧЕНЬ УСЛУГ И ПРОЦЕДУР, ВХОДЯЩИХ В САНАТОРНО-КУРОРТНУЮ ПУТЕВКУ</w:t>
      </w:r>
      <w:r>
        <w:rPr>
          <w:bCs/>
          <w:sz w:val="22"/>
          <w:szCs w:val="22"/>
        </w:rPr>
        <w:t xml:space="preserve"> В СПА ОТЕЛЕ СИНДИКА</w:t>
      </w:r>
      <w:bookmarkStart w:id="0" w:name="_GoBack"/>
      <w:bookmarkEnd w:id="0"/>
    </w:p>
    <w:p w:rsidR="00756718" w:rsidRPr="00D70917" w:rsidRDefault="00756718" w:rsidP="00756718">
      <w:pPr>
        <w:pStyle w:val="a3"/>
        <w:ind w:firstLine="284"/>
        <w:rPr>
          <w:sz w:val="22"/>
          <w:szCs w:val="22"/>
        </w:rPr>
      </w:pPr>
    </w:p>
    <w:tbl>
      <w:tblPr>
        <w:tblW w:w="10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488"/>
        <w:gridCol w:w="1276"/>
        <w:gridCol w:w="1276"/>
        <w:gridCol w:w="1276"/>
        <w:gridCol w:w="1687"/>
      </w:tblGrid>
      <w:tr w:rsidR="00756718" w:rsidRPr="00AE006F" w:rsidTr="00756718">
        <w:tc>
          <w:tcPr>
            <w:tcW w:w="612" w:type="dxa"/>
            <w:vMerge w:val="restart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488" w:type="dxa"/>
            <w:vMerge w:val="restart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Продолжительность путевки</w:t>
            </w:r>
          </w:p>
        </w:tc>
      </w:tr>
      <w:tr w:rsidR="00756718" w:rsidRPr="00AE006F" w:rsidTr="00756718">
        <w:tc>
          <w:tcPr>
            <w:tcW w:w="612" w:type="dxa"/>
            <w:vMerge/>
            <w:shd w:val="clear" w:color="auto" w:fill="auto"/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8" w:type="dxa"/>
            <w:vMerge/>
            <w:shd w:val="clear" w:color="auto" w:fill="auto"/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7 дней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10 дней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14 дней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21 день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Первичный прием и динамическое наблюдение врача-терапевта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3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Консультация врачей — специалистов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 xml:space="preserve">Клинический анализ крови первичный </w:t>
            </w:r>
          </w:p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(повторный – по показаниям)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Клинический анализ мочи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Сахар крови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Холестерин крови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ЭКГ покоя первичная (повторная – по показаниям)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УЗИ (1 ед.)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Питьевое лечение минеральной водой (питьевая галерея на территории городского парка)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Минеральные ванны (</w:t>
            </w:r>
            <w:proofErr w:type="spellStart"/>
            <w:r w:rsidRPr="00AE006F">
              <w:rPr>
                <w:sz w:val="16"/>
                <w:szCs w:val="16"/>
              </w:rPr>
              <w:t>йодобромные</w:t>
            </w:r>
            <w:proofErr w:type="spellEnd"/>
            <w:r w:rsidRPr="00AE006F">
              <w:rPr>
                <w:sz w:val="16"/>
                <w:szCs w:val="16"/>
              </w:rPr>
              <w:t>, азотно-термальные, жемчужные) по показаниям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10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 xml:space="preserve">Лечебные души (циркулярный, веерный, восходящий, </w:t>
            </w:r>
          </w:p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 xml:space="preserve"> душ Шарко) по показаниям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10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Лечебная физкультура (30 мин.)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15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Грязелечение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 xml:space="preserve">Кислородный коктейль и/или </w:t>
            </w:r>
            <w:proofErr w:type="spellStart"/>
            <w:r w:rsidRPr="00AE006F">
              <w:rPr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18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Массаж классический (1 ед.)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7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10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Аппаратная физиотерапия 2х видов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Ингаляции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10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12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proofErr w:type="spellStart"/>
            <w:r w:rsidRPr="00AE006F">
              <w:rPr>
                <w:sz w:val="16"/>
                <w:szCs w:val="16"/>
              </w:rPr>
              <w:t>Десневые</w:t>
            </w:r>
            <w:proofErr w:type="spellEnd"/>
            <w:r w:rsidRPr="00AE006F">
              <w:rPr>
                <w:sz w:val="16"/>
                <w:szCs w:val="16"/>
              </w:rPr>
              <w:t xml:space="preserve"> орошения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10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Кишечное орошение или микроклизмы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Гинекологическое орошение</w:t>
            </w:r>
          </w:p>
        </w:tc>
        <w:tc>
          <w:tcPr>
            <w:tcW w:w="5515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Групповая психотерапия (40 мин.)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18</w:t>
            </w:r>
          </w:p>
        </w:tc>
      </w:tr>
      <w:tr w:rsidR="00756718" w:rsidRPr="00AE006F" w:rsidTr="00756718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Лечебное плавание (45 мин.)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756718" w:rsidRPr="00AE006F" w:rsidRDefault="00756718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18</w:t>
            </w:r>
          </w:p>
        </w:tc>
      </w:tr>
    </w:tbl>
    <w:p w:rsidR="00756718" w:rsidRPr="007638B2" w:rsidRDefault="00756718" w:rsidP="00756718">
      <w:pPr>
        <w:tabs>
          <w:tab w:val="left" w:pos="4236"/>
        </w:tabs>
        <w:ind w:firstLine="284"/>
        <w:rPr>
          <w:sz w:val="18"/>
          <w:szCs w:val="18"/>
        </w:rPr>
      </w:pPr>
    </w:p>
    <w:p w:rsidR="00756718" w:rsidRPr="007638B2" w:rsidRDefault="00756718" w:rsidP="00756718">
      <w:pPr>
        <w:ind w:firstLine="284"/>
        <w:rPr>
          <w:sz w:val="18"/>
          <w:szCs w:val="18"/>
        </w:rPr>
      </w:pPr>
      <w:r w:rsidRPr="007638B2">
        <w:rPr>
          <w:b/>
          <w:sz w:val="18"/>
          <w:szCs w:val="18"/>
        </w:rPr>
        <w:t>Примечание:</w:t>
      </w:r>
      <w:r w:rsidRPr="007638B2">
        <w:rPr>
          <w:sz w:val="18"/>
          <w:szCs w:val="18"/>
        </w:rPr>
        <w:t xml:space="preserve"> </w:t>
      </w:r>
    </w:p>
    <w:p w:rsidR="00756718" w:rsidRPr="00AE006F" w:rsidRDefault="00756718" w:rsidP="00756718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AE006F">
        <w:rPr>
          <w:sz w:val="18"/>
          <w:szCs w:val="18"/>
        </w:rPr>
        <w:t xml:space="preserve">Назначение видов и количества процедур определяется врачом-терапевтом санатория, исходя из диагноза, стадии и фазы заболевания, наличия сопутствующих заболеваний пациента в соответствии со стандартами санаторно-курортного лечения, утвержденными приказами Минздрава РФ. Процедуры, не входящие в настоящий перечень, должны быть согласованы с лечащим врачом и могут быть предоставлены за дополнительную плату. </w:t>
      </w:r>
    </w:p>
    <w:p w:rsidR="00756718" w:rsidRPr="00AE006F" w:rsidRDefault="00756718" w:rsidP="00756718">
      <w:pPr>
        <w:pStyle w:val="a5"/>
        <w:ind w:left="644"/>
        <w:jc w:val="both"/>
        <w:rPr>
          <w:sz w:val="18"/>
          <w:szCs w:val="18"/>
        </w:rPr>
      </w:pPr>
    </w:p>
    <w:p w:rsidR="00756718" w:rsidRPr="00AE006F" w:rsidRDefault="00756718" w:rsidP="00756718">
      <w:pPr>
        <w:pStyle w:val="a5"/>
        <w:numPr>
          <w:ilvl w:val="0"/>
          <w:numId w:val="3"/>
        </w:numPr>
        <w:rPr>
          <w:sz w:val="18"/>
          <w:szCs w:val="18"/>
        </w:rPr>
      </w:pPr>
      <w:r w:rsidRPr="00AE006F">
        <w:rPr>
          <w:sz w:val="18"/>
          <w:szCs w:val="18"/>
        </w:rPr>
        <w:t>ОБЯЗАТЕЛЬНО НАЛИЧИЕ САНАТОРНО-КУРОРТНОЙ КАРТЫ У ГОСТЯ!</w:t>
      </w:r>
    </w:p>
    <w:p w:rsidR="00756718" w:rsidRPr="00AE006F" w:rsidRDefault="00756718" w:rsidP="00756718">
      <w:pPr>
        <w:pStyle w:val="a5"/>
        <w:rPr>
          <w:sz w:val="18"/>
          <w:szCs w:val="18"/>
        </w:rPr>
      </w:pPr>
    </w:p>
    <w:p w:rsidR="00756718" w:rsidRPr="00AE006F" w:rsidRDefault="00756718" w:rsidP="00756718">
      <w:pPr>
        <w:pStyle w:val="a5"/>
        <w:ind w:left="644"/>
        <w:rPr>
          <w:sz w:val="18"/>
          <w:szCs w:val="18"/>
        </w:rPr>
      </w:pPr>
    </w:p>
    <w:p w:rsidR="00756718" w:rsidRPr="00AE006F" w:rsidRDefault="00756718" w:rsidP="00756718">
      <w:pPr>
        <w:pStyle w:val="a5"/>
        <w:numPr>
          <w:ilvl w:val="0"/>
          <w:numId w:val="3"/>
        </w:numPr>
        <w:jc w:val="both"/>
        <w:rPr>
          <w:sz w:val="18"/>
          <w:szCs w:val="18"/>
          <w:shd w:val="clear" w:color="auto" w:fill="FFFFFF"/>
        </w:rPr>
      </w:pPr>
      <w:r w:rsidRPr="00AE006F">
        <w:rPr>
          <w:sz w:val="18"/>
          <w:szCs w:val="18"/>
          <w:shd w:val="clear" w:color="auto" w:fill="FFFFFF"/>
        </w:rPr>
        <w:t>В выходной день (воскресенье) лечебные процедуры не отпускаются.</w:t>
      </w:r>
    </w:p>
    <w:p w:rsidR="00756718" w:rsidRPr="00AE006F" w:rsidRDefault="00756718" w:rsidP="00756718">
      <w:pPr>
        <w:pStyle w:val="a5"/>
        <w:ind w:left="644"/>
        <w:jc w:val="both"/>
        <w:rPr>
          <w:sz w:val="18"/>
          <w:szCs w:val="18"/>
          <w:shd w:val="clear" w:color="auto" w:fill="FFFFFF"/>
        </w:rPr>
      </w:pPr>
    </w:p>
    <w:p w:rsidR="00756718" w:rsidRPr="007638B2" w:rsidRDefault="00756718" w:rsidP="0075671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</w:t>
      </w:r>
      <w:r w:rsidRPr="007638B2">
        <w:rPr>
          <w:sz w:val="18"/>
          <w:szCs w:val="18"/>
          <w:u w:val="single"/>
        </w:rPr>
        <w:t>4. Противопоказания для санаторно-курортной путевки: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Все заболевания в острой стадии, хронические заболевания в стадии обострения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Острые инфекционные и венерические заболевания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Все болезни крови в острой стадии и стадии обострения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Злокачественные новообразования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 xml:space="preserve">Все заболевания и состояния, требующие стационарного лечения, в том числе и хирургического вмешательства, 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Все заболевания, при которых больные не способны к самостоятельному передвижению и самообслуживанию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Беременность во все сроки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Все формы туберкулеза в активной стадии</w:t>
      </w:r>
    </w:p>
    <w:p w:rsidR="00756718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 xml:space="preserve">Психические заболевания. </w:t>
      </w:r>
    </w:p>
    <w:p w:rsidR="00756718" w:rsidRPr="007638B2" w:rsidRDefault="00756718" w:rsidP="00756718">
      <w:pPr>
        <w:numPr>
          <w:ilvl w:val="0"/>
          <w:numId w:val="1"/>
        </w:numPr>
        <w:ind w:left="0" w:firstLine="284"/>
        <w:rPr>
          <w:sz w:val="18"/>
          <w:szCs w:val="18"/>
        </w:rPr>
      </w:pPr>
      <w:r w:rsidRPr="007638B2">
        <w:rPr>
          <w:sz w:val="18"/>
          <w:szCs w:val="18"/>
        </w:rPr>
        <w:t>Все формы наркомании, хронический алкоголизм, эпилепсия</w:t>
      </w:r>
    </w:p>
    <w:p w:rsidR="00D16CB1" w:rsidRDefault="00D16CB1"/>
    <w:sectPr w:rsidR="00D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508F"/>
    <w:multiLevelType w:val="hybridMultilevel"/>
    <w:tmpl w:val="6FA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572E"/>
    <w:multiLevelType w:val="hybridMultilevel"/>
    <w:tmpl w:val="90BE44B4"/>
    <w:lvl w:ilvl="0" w:tplc="7FD24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343C7A"/>
    <w:multiLevelType w:val="hybridMultilevel"/>
    <w:tmpl w:val="91E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8"/>
    <w:rsid w:val="00756718"/>
    <w:rsid w:val="00D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8980-3B87-429F-BAE2-95A360A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718"/>
    <w:pPr>
      <w:widowControl/>
      <w:overflowPunct w:val="0"/>
      <w:jc w:val="center"/>
      <w:textAlignment w:val="baseline"/>
    </w:pPr>
    <w:rPr>
      <w:rFonts w:eastAsia="Calibri"/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75671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R. Khusainova</dc:creator>
  <cp:keywords/>
  <dc:description/>
  <cp:lastModifiedBy>Dania R. Khusainova</cp:lastModifiedBy>
  <cp:revision>1</cp:revision>
  <dcterms:created xsi:type="dcterms:W3CDTF">2021-08-08T12:47:00Z</dcterms:created>
  <dcterms:modified xsi:type="dcterms:W3CDTF">2021-08-08T12:49:00Z</dcterms:modified>
</cp:coreProperties>
</file>