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9" w:rsidRDefault="001B694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КУБА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4F36A1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</w:t>
      </w:r>
      <w:r w:rsidR="004F36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лечение и лечение в стационаре</w:t>
      </w:r>
      <w:r w:rsidR="004F36A1" w:rsidRPr="004F36A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, в том числе при выявлении у застрахованного коронавирусной инфекци</w:t>
      </w:r>
      <w:r w:rsid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 xml:space="preserve">и </w:t>
      </w:r>
      <w:r w:rsidR="004F36A1" w:rsidRPr="004F36A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  <w:lang w:val="en-US"/>
        </w:rPr>
        <w:t>CoVID</w:t>
      </w:r>
      <w:r w:rsidR="00944735"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-</w:t>
      </w:r>
      <w:r w:rsid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19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944735" w:rsidRDefault="0094473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44735" w:rsidRPr="00944735" w:rsidRDefault="00944735" w:rsidP="0094473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По страховым случаям, связанным с заболеваниями коронавирусной инфекцией COVID-19 покрываются следующие расходы: медицинские расходы Застрахованного лица, связанные с диагностикой (положительной) и лечением коронавирусной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</w:t>
      </w: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944735" w:rsidRPr="00944735" w:rsidRDefault="00944735" w:rsidP="0094473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</w:pP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 xml:space="preserve">Договором страхования не покрываются следующие расходы связанные с коронавирусной инфекцией </w:t>
      </w: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  <w:lang w:val="en-US"/>
        </w:rPr>
        <w:t>CoVID</w:t>
      </w: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-19:</w:t>
      </w:r>
    </w:p>
    <w:p w:rsidR="00944735" w:rsidRPr="00944735" w:rsidRDefault="00944735" w:rsidP="00944735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</w:pP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Расходы по проживанию и питанию Застрахованного лица на все время пребывания в карантине на территории страхования по поводу коронавирусной инфекции COVID-19.</w:t>
      </w:r>
    </w:p>
    <w:p w:rsidR="00944735" w:rsidRPr="00944735" w:rsidRDefault="00944735" w:rsidP="00944735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</w:pP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Транспортные расходы по возвращению Застрахованного лица к месту постоянного проживания в случае если Застрахованное лицо не было госпитализировано на момент окончания тура.</w:t>
      </w:r>
    </w:p>
    <w:p w:rsidR="00944735" w:rsidRPr="00944735" w:rsidRDefault="00944735" w:rsidP="00944735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</w:pPr>
      <w:r w:rsidRPr="00944735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Расходы Застрахованного лица на территории страхования, связанные с проведением ему обязательных тестирований по выявлению коронавирусной инфекции COVID-19, в случае если по результатам тестирования коронавирусная инфекция COVID-19 не была выявлена.</w:t>
      </w:r>
    </w:p>
    <w:p w:rsidR="00944735" w:rsidRDefault="0094473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r w:rsidR="00C243E1" w:rsidRPr="00C243E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https://www.ingos.ru/Upload/info/pravila_vzr/pravila_vzr_complex.pdf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</w:t>
      </w:r>
      <w:r w:rsidR="009B0FB1">
        <w:rPr>
          <w:rFonts w:asciiTheme="minorHAnsi" w:hAnsiTheme="minorHAnsi" w:cstheme="minorHAnsi"/>
          <w:sz w:val="20"/>
        </w:rPr>
        <w:t>–</w:t>
      </w:r>
      <w:r w:rsidRPr="009B5454">
        <w:rPr>
          <w:rFonts w:asciiTheme="minorHAnsi" w:hAnsiTheme="minorHAnsi" w:cstheme="minorHAnsi"/>
          <w:sz w:val="20"/>
        </w:rPr>
        <w:t xml:space="preserve"> </w:t>
      </w:r>
      <w:r w:rsidR="009B0FB1" w:rsidRPr="009B0FB1">
        <w:rPr>
          <w:rFonts w:asciiTheme="minorHAnsi" w:hAnsiTheme="minorHAnsi" w:cstheme="minorHAnsi"/>
          <w:sz w:val="20"/>
          <w:highlight w:val="yellow"/>
        </w:rPr>
        <w:t>пункты Правил 14.2.48, 14.2.49</w:t>
      </w:r>
      <w:r w:rsidR="009B0FB1">
        <w:rPr>
          <w:rFonts w:asciiTheme="minorHAnsi" w:hAnsiTheme="minorHAnsi" w:cstheme="minorHAnsi"/>
          <w:b/>
          <w:sz w:val="20"/>
        </w:rPr>
        <w:t>: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 xml:space="preserve">. </w:t>
      </w:r>
      <w:r w:rsidR="00AA63C7" w:rsidRPr="009B0FB1">
        <w:rPr>
          <w:rFonts w:asciiTheme="minorHAnsi" w:hAnsiTheme="minorHAnsi" w:cstheme="minorHAnsi"/>
          <w:sz w:val="20"/>
          <w:highlight w:val="yellow"/>
        </w:rPr>
        <w:t>(</w:t>
      </w:r>
      <w:r w:rsidR="009B0FB1" w:rsidRPr="009B0FB1">
        <w:rPr>
          <w:rFonts w:asciiTheme="minorHAnsi" w:hAnsiTheme="minorHAnsi" w:cstheme="minorHAnsi"/>
          <w:sz w:val="20"/>
          <w:highlight w:val="yellow"/>
        </w:rPr>
        <w:t>«Комплексные п</w:t>
      </w:r>
      <w:r w:rsidR="00AA63C7" w:rsidRPr="009B0FB1">
        <w:rPr>
          <w:rFonts w:asciiTheme="minorHAnsi" w:hAnsiTheme="minorHAnsi" w:cstheme="minorHAnsi"/>
          <w:sz w:val="20"/>
          <w:highlight w:val="yellow"/>
        </w:rPr>
        <w:t xml:space="preserve">равила </w:t>
      </w:r>
      <w:r w:rsidR="009B0FB1" w:rsidRPr="009B0FB1">
        <w:rPr>
          <w:rFonts w:asciiTheme="minorHAnsi" w:hAnsiTheme="minorHAnsi" w:cstheme="minorHAnsi"/>
          <w:sz w:val="20"/>
          <w:highlight w:val="yellow"/>
        </w:rPr>
        <w:t>путешествующих»</w:t>
      </w:r>
      <w:r w:rsidR="00AA63C7" w:rsidRPr="009B0FB1">
        <w:rPr>
          <w:rFonts w:asciiTheme="minorHAnsi" w:hAnsiTheme="minorHAnsi" w:cstheme="minorHAnsi"/>
          <w:sz w:val="20"/>
          <w:highlight w:val="yellow"/>
        </w:rPr>
        <w:t xml:space="preserve"> </w:t>
      </w:r>
      <w:r w:rsidR="00AA63C7" w:rsidRPr="009B0FB1">
        <w:rPr>
          <w:rFonts w:asciiTheme="minorHAnsi" w:hAnsiTheme="minorHAnsi" w:cstheme="minorHAnsi"/>
          <w:bCs/>
          <w:sz w:val="20"/>
          <w:szCs w:val="24"/>
          <w:highlight w:val="yellow"/>
        </w:rPr>
        <w:t>СПАО «Ингосстрах»)</w:t>
      </w:r>
      <w:r w:rsidR="00CF2801" w:rsidRPr="009B0FB1">
        <w:rPr>
          <w:rFonts w:asciiTheme="minorHAnsi" w:hAnsiTheme="minorHAnsi" w:cstheme="minorHAnsi"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9B0FB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="009B0FB1" w:rsidRPr="009B0FB1">
        <w:rPr>
          <w:rFonts w:asciiTheme="minorHAnsi" w:hAnsiTheme="minorHAnsi" w:cstheme="minorHAnsi"/>
          <w:bCs/>
          <w:color w:val="000000" w:themeColor="text1"/>
          <w:sz w:val="20"/>
          <w:szCs w:val="20"/>
          <w:highlight w:val="yellow"/>
        </w:rPr>
        <w:t>п.14.2.48, 14.2.49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9B0FB1">
        <w:trPr>
          <w:trHeight w:hRule="exact" w:val="602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FB1" w:rsidRPr="009B0FB1" w:rsidRDefault="008559A7" w:rsidP="009B0FB1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9B0FB1">
              <w:rPr>
                <w:rFonts w:ascii="Times New Roman" w:hAnsi="Times New Roman" w:cs="Times New Roman"/>
                <w:color w:val="000000"/>
                <w:sz w:val="18"/>
                <w:highlight w:val="yellow"/>
                <w:lang w:eastAsia="ru-RU"/>
              </w:rPr>
              <w:t>Амбулаторное и стационарное лечение</w:t>
            </w:r>
            <w:r w:rsidR="009B0FB1" w:rsidRPr="009B0FB1">
              <w:rPr>
                <w:rFonts w:ascii="Times New Roman" w:hAnsi="Times New Roman" w:cs="Times New Roman"/>
                <w:color w:val="000000"/>
                <w:sz w:val="18"/>
                <w:highlight w:val="yellow"/>
                <w:lang w:eastAsia="ru-RU"/>
              </w:rPr>
              <w:t>, в том числе при выявлении у застрахованного коронавирусной инфекции CoVID-19</w:t>
            </w:r>
          </w:p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9B0FB1">
        <w:trPr>
          <w:trHeight w:hRule="exact" w:val="832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1068E" w:rsidRDefault="00B1068E" w:rsidP="00B1068E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1068E" w:rsidRPr="00F775AA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1068E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lastRenderedPageBreak/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1068E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1068E" w:rsidRDefault="00B1068E" w:rsidP="00B1068E">
      <w:pPr>
        <w:jc w:val="both"/>
        <w:rPr>
          <w:rFonts w:ascii="Times New Roman" w:hAnsi="Times New Roman"/>
        </w:rPr>
      </w:pP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1068E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1068E" w:rsidRDefault="00B1068E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C7448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1</w:t>
            </w:r>
            <w:r w:rsidR="000C7448"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 xml:space="preserve">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C7448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</w:t>
            </w:r>
            <w:r w:rsidR="000C7448">
              <w:rPr>
                <w:rFonts w:ascii="Times New Roman" w:hAnsi="Times New Roman" w:cs="Times New Roman"/>
              </w:rPr>
              <w:t>3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C7448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</w:t>
            </w:r>
            <w:r w:rsidR="000C7448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C243E1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C243E1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здоровья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C243E1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C243E1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243E1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123022</w:t>
      </w:r>
      <w:r w:rsidR="00C41C85"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, Москва, </w:t>
      </w:r>
      <w:r w:rsidR="00F6101D"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ул. </w:t>
      </w:r>
      <w:r w:rsidR="000341B9"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Рочдельская, дом 15, стр. 35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C243E1" w:rsidRDefault="001B3F85" w:rsidP="00C243E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C243E1"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123022, Москва, ул. Рочдельская, дом 15, стр. 35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пт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сб, вс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C243E1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C243E1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C243E1" w:rsidRDefault="00C243E1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C243E1" w:rsidRPr="00C243E1" w:rsidRDefault="00C243E1" w:rsidP="00C243E1">
      <w:pPr>
        <w:shd w:val="clear" w:color="auto" w:fill="FFFFFF"/>
        <w:spacing w:before="190" w:after="19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highlight w:val="yellow"/>
          <w:lang w:eastAsia="ru-RU"/>
        </w:rPr>
      </w:pPr>
      <w:r w:rsidRPr="00C243E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highlight w:val="yellow"/>
          <w:lang w:eastAsia="ru-RU"/>
        </w:rPr>
        <w:t>Порядок обращения в СПАО "Ингосстрах" по страховым случаям в связи с профилактикой заболеваемости коронавирусной инфекцией</w:t>
      </w:r>
    </w:p>
    <w:p w:rsidR="00587C46" w:rsidRDefault="00C243E1" w:rsidP="00C243E1">
      <w:pPr>
        <w:shd w:val="clear" w:color="auto" w:fill="FFFFFF"/>
        <w:spacing w:before="190" w:after="19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</w:pP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В целях усиления профилакти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ки заболеваемости коронавирусной инфекцией З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астрахованным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рекомендуется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 обращаться в СПАО "Ингосстрах" для получения возмещения по страховым случаям посредством электронной почты</w:t>
      </w:r>
      <w:r w:rsidR="00587C46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:</w:t>
      </w:r>
    </w:p>
    <w:p w:rsidR="00587C46" w:rsidRDefault="00587C46" w:rsidP="00587C46">
      <w:pPr>
        <w:shd w:val="clear" w:color="auto" w:fill="FFFFFF"/>
        <w:spacing w:before="190" w:after="19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1. Направить сканированные копии полного комплекта документов для предварительной проверки на электронный адрес </w:t>
      </w:r>
      <w:hyperlink r:id="rId12" w:history="1">
        <w:r w:rsidRPr="00C243E1">
          <w:rPr>
            <w:rFonts w:asciiTheme="minorHAnsi" w:eastAsia="Times New Roman" w:hAnsiTheme="minorHAnsi" w:cstheme="minorHAnsi"/>
            <w:color w:val="000000" w:themeColor="text1"/>
            <w:sz w:val="20"/>
            <w:szCs w:val="20"/>
            <w:highlight w:val="yellow"/>
            <w:lang w:eastAsia="ru-RU"/>
          </w:rPr>
          <w:t>tourclaims@ingos.ru</w:t>
        </w:r>
      </w:hyperlink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.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br/>
        <w:t>2. Получить инструкции от сотрудников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 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 о дальнейших действиях по случаю.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br/>
        <w:t>3. Оригиналы документов, в случае запроса Страховщика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 отправить </w:t>
      </w: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 xml:space="preserve">заказным письмом </w:t>
      </w:r>
      <w:r w:rsidRPr="00587C46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на адрес Страховщика.</w:t>
      </w:r>
    </w:p>
    <w:p w:rsidR="00C243E1" w:rsidRPr="00C243E1" w:rsidRDefault="00C243E1" w:rsidP="00C243E1">
      <w:pPr>
        <w:shd w:val="clear" w:color="auto" w:fill="FFFFFF"/>
        <w:spacing w:before="190" w:after="19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</w:pPr>
      <w:r w:rsidRPr="00C243E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ru-RU"/>
        </w:rPr>
        <w:t>Прием клиентов в офисах компании временно ограничен, в связи с чем рекомендуется оригиналы документов по запросу Страховщика направлять почтой России в офис Страховщика в своем регионе.</w:t>
      </w:r>
    </w:p>
    <w:p w:rsidR="00C243E1" w:rsidRPr="00A751CB" w:rsidRDefault="00C243E1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C243E1" w:rsidRPr="00A751CB" w:rsidSect="00B276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8F" w:rsidRDefault="00F4388F" w:rsidP="00440378">
      <w:pPr>
        <w:spacing w:after="0" w:line="240" w:lineRule="auto"/>
      </w:pPr>
      <w:r>
        <w:separator/>
      </w:r>
    </w:p>
  </w:endnote>
  <w:endnote w:type="continuationSeparator" w:id="0">
    <w:p w:rsidR="00F4388F" w:rsidRDefault="00F4388F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36" w:rsidRDefault="006D653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48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36" w:rsidRDefault="006D65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8F" w:rsidRDefault="00F4388F" w:rsidP="00440378">
      <w:pPr>
        <w:spacing w:after="0" w:line="240" w:lineRule="auto"/>
      </w:pPr>
      <w:r>
        <w:separator/>
      </w:r>
    </w:p>
  </w:footnote>
  <w:footnote w:type="continuationSeparator" w:id="0">
    <w:p w:rsidR="00F4388F" w:rsidRDefault="00F4388F" w:rsidP="0044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36" w:rsidRDefault="006D65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36" w:rsidRDefault="006D65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36" w:rsidRDefault="006D65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341B9"/>
    <w:rsid w:val="00060CA7"/>
    <w:rsid w:val="00071AFE"/>
    <w:rsid w:val="00077FA9"/>
    <w:rsid w:val="000C7448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4F36A1"/>
    <w:rsid w:val="005025E0"/>
    <w:rsid w:val="00516305"/>
    <w:rsid w:val="005370FB"/>
    <w:rsid w:val="00545A25"/>
    <w:rsid w:val="005464E9"/>
    <w:rsid w:val="0055613C"/>
    <w:rsid w:val="00565204"/>
    <w:rsid w:val="00587C46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D6536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44735"/>
    <w:rsid w:val="009662F8"/>
    <w:rsid w:val="00973A3F"/>
    <w:rsid w:val="00987F26"/>
    <w:rsid w:val="009A2332"/>
    <w:rsid w:val="009A5212"/>
    <w:rsid w:val="009B0CA3"/>
    <w:rsid w:val="009B0FB1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243E1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4388F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gos.ru/Upload/info/incident/travel/nvzd-child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2A94-697E-4323-ADB7-55160722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Кузминова Екатерина</cp:lastModifiedBy>
  <cp:revision>7</cp:revision>
  <dcterms:created xsi:type="dcterms:W3CDTF">2020-10-29T11:49:00Z</dcterms:created>
  <dcterms:modified xsi:type="dcterms:W3CDTF">2020-11-13T11:00:00Z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agonch@ingos.ru</vt:lpwstr>
  </property>
  <property fmtid="{D5CDD505-2E9C-101B-9397-08002B2CF9AE}" pid="5" name="MSIP_Label_22f0b804-62e0-47d9-bc61-31b566d2ec1e_SetDate">
    <vt:lpwstr>2020-10-29T11:49:34.8316430Z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0651380d-c778-4c41-a9e4-39f8bda360d7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